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745 2023 123 / 15 vom 19. Oktober 2022</w:t>
      </w:r>
    </w:p>
    <w:p>
      <w:r>
        <w:t>BL Gerichte, 2022-10-19, DE</w:t>
      </w:r>
    </w:p>
    <w:p>
      <w:r>
        <w:rPr>
          <w:b/>
        </w:rPr>
        <w:t xml:space="preserve">Quelle: </w:t>
      </w:r>
      <w:r>
        <w:t>https://mcp.opencaselaw.ch/entscheid/bl_gerichte_745 2023 123 _ 15</w:t>
      </w:r>
    </w:p>
    <w:p>
      <w:r>
        <w:t>FR: BL_GERICHTE 745 2023 123 / 15 du 19 octobre 2022</w:t>
      </w:r>
    </w:p>
    <w:p>
      <w:r>
        <w:t>IT: BL_GERICHTE 745 2023 123 / 15 del 19 ottobre 2022</w:t>
      </w:r>
    </w:p>
    <w:p>
      <w:pPr>
        <w:pStyle w:val="Heading2"/>
      </w:pPr>
      <w:r>
        <w:t>Regeste</w:t>
      </w:r>
    </w:p>
    <w:p>
      <w:r>
        <w:t>Berücksichtigung der Heizkostenpauschale bei direkter Rechnungsstellung durch den Energieanbieter im Mietverhältnis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der Beschwerde wird der Einspracheentscheid der Ausgleichskasse Basel-Landschaft vom 21. März 2023 dahingehend abgeändert, dass die Beschwerdeführer im Rahmen der Berechnung der Ergänzungsleistungen Anspruch auf eine jährliche Pauschale für Heizkosten von Fr. 1'530.-- haben. Im Übrigen ist die Beschwerde abzuweisen.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Ausgleichskasse Basel-Landschaft hat den Beschwerdeführern eine Parteientschädigung in der Höhe von Fr. 2'143.45 (inkl. Auslagen und 7,7 %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